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F" w:rsidRDefault="006147D5" w:rsidP="006147D5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6147D5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Р</w:t>
      </w:r>
      <w:r w:rsidR="005F650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АСШИРЕННАЯ </w:t>
      </w:r>
      <w:r w:rsidRPr="006147D5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О</w:t>
      </w:r>
      <w:r w:rsidR="005F650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ТВЕТСТВЕННОСТЬ </w:t>
      </w:r>
      <w:r w:rsidRPr="006147D5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5F650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РОИЗВОДИТЕЛЕЙ СЕГОДНЯ. </w:t>
      </w:r>
    </w:p>
    <w:p w:rsidR="005F650F" w:rsidRDefault="005F650F" w:rsidP="006147D5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ВЗГЛЯД БИЗНЕСА.</w:t>
      </w:r>
    </w:p>
    <w:p w:rsidR="006147D5" w:rsidRPr="005F650F" w:rsidRDefault="006147D5" w:rsidP="006147D5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5F650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МЕЛАНЕВСКАЯ Л.А.</w:t>
      </w:r>
    </w:p>
    <w:p w:rsidR="006147D5" w:rsidRDefault="006147D5" w:rsidP="006147D5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НЕКОММЕРЧЕСКАЯ АССОЦИАЦИЯ «РУСПЭК»</w:t>
      </w:r>
    </w:p>
    <w:p w:rsidR="006147D5" w:rsidRPr="006147D5" w:rsidRDefault="006147D5" w:rsidP="006147D5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F52147" w:rsidRDefault="009D1D6A" w:rsidP="005F650F">
      <w:pPr>
        <w:spacing w:after="0" w:line="240" w:lineRule="auto"/>
        <w:ind w:left="851" w:right="850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Компании-члены РусПЭК полностью</w:t>
      </w:r>
      <w:r w:rsidRPr="009D1D6A">
        <w:rPr>
          <w:rFonts w:ascii="Times New Roman" w:hAnsi="Times New Roman"/>
          <w:sz w:val="28"/>
          <w:szCs w:val="28"/>
        </w:rPr>
        <w:t xml:space="preserve"> поддерживают введение законом расширенной ответственности производителей и импортеров [далее - РОП] за утилизацию отходов, образующихся в результате потребления. Для нас важно, что</w:t>
      </w:r>
      <w:r>
        <w:rPr>
          <w:rFonts w:ascii="Times New Roman" w:hAnsi="Times New Roman"/>
          <w:sz w:val="28"/>
          <w:szCs w:val="28"/>
        </w:rPr>
        <w:t xml:space="preserve">бы принцип РОП соответствовал </w:t>
      </w:r>
      <w:r w:rsidRPr="009D1D6A">
        <w:rPr>
          <w:rFonts w:ascii="Times New Roman" w:hAnsi="Times New Roman"/>
          <w:sz w:val="28"/>
          <w:szCs w:val="28"/>
        </w:rPr>
        <w:t>международным практикам</w:t>
      </w:r>
      <w:r>
        <w:rPr>
          <w:rFonts w:ascii="Times New Roman" w:hAnsi="Times New Roman"/>
          <w:sz w:val="28"/>
          <w:szCs w:val="28"/>
        </w:rPr>
        <w:t>, где</w:t>
      </w:r>
      <w:r w:rsidRPr="009D1D6A">
        <w:rPr>
          <w:rFonts w:ascii="Times New Roman" w:hAnsi="Times New Roman"/>
          <w:sz w:val="28"/>
          <w:szCs w:val="28"/>
        </w:rPr>
        <w:t xml:space="preserve"> он был запущен должным образом</w:t>
      </w:r>
      <w:r w:rsidR="00F52147">
        <w:rPr>
          <w:rFonts w:ascii="Times New Roman" w:hAnsi="Times New Roman"/>
          <w:sz w:val="28"/>
          <w:szCs w:val="28"/>
        </w:rPr>
        <w:t xml:space="preserve">с гибким переходным периодом (семь лет по отходам упаковки)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D1D6A">
        <w:rPr>
          <w:rFonts w:ascii="Times New Roman" w:hAnsi="Times New Roman"/>
          <w:sz w:val="28"/>
          <w:szCs w:val="28"/>
        </w:rPr>
        <w:t>имеет существенный потенциал воздействия на формирование постоянно растущего рынка переработки потребительских отходов, что, в свою очередь, должно привести к увеличению объемов сбора вторичного сырья и минимизации негативного воздействия отходов потребления на окружающую среду.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9D1D6A">
        <w:rPr>
          <w:rFonts w:ascii="Times New Roman" w:hAnsi="Times New Roman"/>
          <w:sz w:val="28"/>
          <w:szCs w:val="28"/>
        </w:rPr>
        <w:t xml:space="preserve">международному опыту компаний именно самостоятельная реализация РОП через объединения </w:t>
      </w:r>
      <w:r w:rsidR="00F52147">
        <w:rPr>
          <w:rFonts w:ascii="Times New Roman" w:hAnsi="Times New Roman"/>
          <w:sz w:val="28"/>
          <w:szCs w:val="28"/>
        </w:rPr>
        <w:t xml:space="preserve">производителей </w:t>
      </w:r>
      <w:r w:rsidRPr="009D1D6A">
        <w:rPr>
          <w:rFonts w:ascii="Times New Roman" w:hAnsi="Times New Roman"/>
          <w:sz w:val="28"/>
          <w:szCs w:val="28"/>
        </w:rPr>
        <w:t>способствует максимальному возврату отходов в хозяйственный оборот, при этом немаловажно, чтобы затраты производителей и потре</w:t>
      </w:r>
      <w:r w:rsidR="00F52147">
        <w:rPr>
          <w:rFonts w:ascii="Times New Roman" w:hAnsi="Times New Roman"/>
          <w:sz w:val="28"/>
          <w:szCs w:val="28"/>
        </w:rPr>
        <w:t xml:space="preserve">бителей оставались оптимальными. </w:t>
      </w:r>
    </w:p>
    <w:p w:rsidR="00803778" w:rsidRDefault="00F52147" w:rsidP="00803778">
      <w:pPr>
        <w:spacing w:after="0" w:line="240" w:lineRule="auto"/>
        <w:ind w:left="851" w:right="850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в России наблюдается форсированное введение РОП: закон вступил в силу с 01 января 2015, но на данный момент принят</w:t>
      </w:r>
      <w:r w:rsidR="005F65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="005F650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5F650F">
        <w:rPr>
          <w:rFonts w:ascii="Times New Roman" w:hAnsi="Times New Roman"/>
          <w:sz w:val="28"/>
          <w:szCs w:val="28"/>
        </w:rPr>
        <w:t>дзаконных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5F65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ожидаемых тридцати, что создает риски для всех участников</w:t>
      </w:r>
      <w:r w:rsidR="00B336CD">
        <w:rPr>
          <w:rFonts w:ascii="Times New Roman" w:hAnsi="Times New Roman"/>
          <w:sz w:val="28"/>
          <w:szCs w:val="28"/>
        </w:rPr>
        <w:t xml:space="preserve"> системы. </w:t>
      </w:r>
      <w:r w:rsidR="009C4AF2">
        <w:rPr>
          <w:rFonts w:ascii="Times New Roman" w:hAnsi="Times New Roman"/>
          <w:sz w:val="28"/>
          <w:szCs w:val="28"/>
        </w:rPr>
        <w:t>Н</w:t>
      </w:r>
      <w:r w:rsidR="00755D09">
        <w:rPr>
          <w:rFonts w:ascii="Times New Roman" w:hAnsi="Times New Roman"/>
          <w:sz w:val="28"/>
          <w:szCs w:val="28"/>
        </w:rPr>
        <w:t>ачальны</w:t>
      </w:r>
      <w:r w:rsidR="009C4AF2">
        <w:rPr>
          <w:rFonts w:ascii="Times New Roman" w:hAnsi="Times New Roman"/>
          <w:sz w:val="28"/>
          <w:szCs w:val="28"/>
        </w:rPr>
        <w:t>е</w:t>
      </w:r>
      <w:r w:rsidR="00755D09">
        <w:rPr>
          <w:rFonts w:ascii="Times New Roman" w:hAnsi="Times New Roman"/>
          <w:sz w:val="28"/>
          <w:szCs w:val="28"/>
        </w:rPr>
        <w:t xml:space="preserve"> норматив</w:t>
      </w:r>
      <w:r w:rsidR="009C4AF2">
        <w:rPr>
          <w:rFonts w:ascii="Times New Roman" w:hAnsi="Times New Roman"/>
          <w:sz w:val="28"/>
          <w:szCs w:val="28"/>
        </w:rPr>
        <w:t>ы</w:t>
      </w:r>
      <w:r w:rsidR="00755D09">
        <w:rPr>
          <w:rFonts w:ascii="Times New Roman" w:hAnsi="Times New Roman"/>
          <w:sz w:val="28"/>
          <w:szCs w:val="28"/>
        </w:rPr>
        <w:t xml:space="preserve"> утилизации </w:t>
      </w:r>
      <w:r w:rsidR="00B336CD">
        <w:rPr>
          <w:rFonts w:ascii="Times New Roman" w:hAnsi="Times New Roman"/>
          <w:sz w:val="28"/>
          <w:szCs w:val="28"/>
        </w:rPr>
        <w:t xml:space="preserve">предлагаются на основании существующего уровня переработки отходов коммерческого сектора и наличием незагруженных перерабатывающих мощностей, тогда как </w:t>
      </w:r>
      <w:r w:rsidR="009C4AF2">
        <w:rPr>
          <w:rFonts w:ascii="Times New Roman" w:hAnsi="Times New Roman"/>
          <w:sz w:val="28"/>
          <w:szCs w:val="28"/>
        </w:rPr>
        <w:t>должны</w:t>
      </w:r>
      <w:r w:rsidR="004B7FF4" w:rsidRPr="004B7FF4">
        <w:rPr>
          <w:rFonts w:ascii="Times New Roman" w:hAnsi="Times New Roman"/>
          <w:sz w:val="28"/>
          <w:szCs w:val="28"/>
        </w:rPr>
        <w:t xml:space="preserve"> </w:t>
      </w:r>
      <w:r w:rsidR="009C4AF2">
        <w:rPr>
          <w:rFonts w:ascii="Times New Roman" w:hAnsi="Times New Roman"/>
          <w:sz w:val="28"/>
          <w:szCs w:val="28"/>
        </w:rPr>
        <w:t>определяться существующим</w:t>
      </w:r>
      <w:r w:rsidR="004B7FF4" w:rsidRPr="004B7FF4">
        <w:rPr>
          <w:rFonts w:ascii="Times New Roman" w:hAnsi="Times New Roman"/>
          <w:sz w:val="28"/>
          <w:szCs w:val="28"/>
        </w:rPr>
        <w:t xml:space="preserve"> </w:t>
      </w:r>
      <w:r w:rsidR="009C4AF2">
        <w:rPr>
          <w:rFonts w:ascii="Times New Roman" w:hAnsi="Times New Roman"/>
          <w:sz w:val="28"/>
          <w:szCs w:val="28"/>
        </w:rPr>
        <w:t>уровнем</w:t>
      </w:r>
      <w:r w:rsidR="004B7FF4" w:rsidRPr="004B7FF4">
        <w:rPr>
          <w:rFonts w:ascii="Times New Roman" w:hAnsi="Times New Roman"/>
          <w:sz w:val="28"/>
          <w:szCs w:val="28"/>
        </w:rPr>
        <w:t xml:space="preserve"> </w:t>
      </w:r>
      <w:r w:rsidR="00755D09" w:rsidRPr="009C4AF2">
        <w:rPr>
          <w:rFonts w:ascii="Times New Roman" w:hAnsi="Times New Roman"/>
          <w:b/>
          <w:sz w:val="28"/>
          <w:szCs w:val="28"/>
        </w:rPr>
        <w:t>извлечения</w:t>
      </w:r>
      <w:r w:rsidR="00E331A2">
        <w:rPr>
          <w:rFonts w:ascii="Times New Roman" w:hAnsi="Times New Roman"/>
          <w:sz w:val="28"/>
          <w:szCs w:val="28"/>
        </w:rPr>
        <w:t xml:space="preserve"> того или иного вида твердых коммунальных отходов (</w:t>
      </w:r>
      <w:r w:rsidR="00755D09">
        <w:rPr>
          <w:rFonts w:ascii="Times New Roman" w:hAnsi="Times New Roman"/>
          <w:sz w:val="28"/>
          <w:szCs w:val="28"/>
        </w:rPr>
        <w:t>ТКО</w:t>
      </w:r>
      <w:r w:rsidR="00E331A2">
        <w:rPr>
          <w:rFonts w:ascii="Times New Roman" w:hAnsi="Times New Roman"/>
          <w:sz w:val="28"/>
          <w:szCs w:val="28"/>
        </w:rPr>
        <w:t>)</w:t>
      </w:r>
      <w:r w:rsidR="004B7FF4" w:rsidRPr="004B7FF4">
        <w:rPr>
          <w:rFonts w:ascii="Times New Roman" w:hAnsi="Times New Roman"/>
          <w:sz w:val="28"/>
          <w:szCs w:val="28"/>
        </w:rPr>
        <w:t xml:space="preserve"> </w:t>
      </w:r>
      <w:r w:rsidR="00755D09" w:rsidRPr="009C4AF2">
        <w:rPr>
          <w:rFonts w:ascii="Times New Roman" w:hAnsi="Times New Roman"/>
          <w:b/>
          <w:sz w:val="28"/>
          <w:szCs w:val="28"/>
        </w:rPr>
        <w:t>из жилого сектора</w:t>
      </w:r>
      <w:r w:rsidR="00755D09">
        <w:rPr>
          <w:rFonts w:ascii="Times New Roman" w:hAnsi="Times New Roman"/>
          <w:sz w:val="28"/>
          <w:szCs w:val="28"/>
        </w:rPr>
        <w:t>,</w:t>
      </w:r>
      <w:r w:rsidR="001D2918">
        <w:rPr>
          <w:rFonts w:ascii="Times New Roman" w:hAnsi="Times New Roman"/>
          <w:sz w:val="28"/>
          <w:szCs w:val="28"/>
        </w:rPr>
        <w:t xml:space="preserve"> котор</w:t>
      </w:r>
      <w:r w:rsidR="00E331A2">
        <w:rPr>
          <w:rFonts w:ascii="Times New Roman" w:hAnsi="Times New Roman"/>
          <w:sz w:val="28"/>
          <w:szCs w:val="28"/>
        </w:rPr>
        <w:t>ые</w:t>
      </w:r>
      <w:r w:rsidR="00B336CD">
        <w:rPr>
          <w:rFonts w:ascii="Times New Roman" w:hAnsi="Times New Roman"/>
          <w:sz w:val="28"/>
          <w:szCs w:val="28"/>
        </w:rPr>
        <w:t xml:space="preserve"> направляются на захоронение</w:t>
      </w:r>
      <w:r w:rsidR="00755D09">
        <w:rPr>
          <w:rFonts w:ascii="Times New Roman" w:hAnsi="Times New Roman"/>
          <w:sz w:val="28"/>
          <w:szCs w:val="28"/>
        </w:rPr>
        <w:t xml:space="preserve">. </w:t>
      </w:r>
      <w:r w:rsidR="00914A40">
        <w:rPr>
          <w:rFonts w:ascii="Times New Roman" w:hAnsi="Times New Roman"/>
          <w:sz w:val="28"/>
          <w:szCs w:val="28"/>
        </w:rPr>
        <w:t>Согласно э</w:t>
      </w:r>
      <w:r w:rsidR="00755D09">
        <w:rPr>
          <w:rFonts w:ascii="Times New Roman" w:hAnsi="Times New Roman"/>
          <w:sz w:val="28"/>
          <w:szCs w:val="28"/>
        </w:rPr>
        <w:t>кспертны</w:t>
      </w:r>
      <w:r w:rsidR="00914A40">
        <w:rPr>
          <w:rFonts w:ascii="Times New Roman" w:hAnsi="Times New Roman"/>
          <w:sz w:val="28"/>
          <w:szCs w:val="28"/>
        </w:rPr>
        <w:t>м</w:t>
      </w:r>
      <w:r w:rsidR="00755D09">
        <w:rPr>
          <w:rFonts w:ascii="Times New Roman" w:hAnsi="Times New Roman"/>
          <w:sz w:val="28"/>
          <w:szCs w:val="28"/>
        </w:rPr>
        <w:t xml:space="preserve"> данны</w:t>
      </w:r>
      <w:r w:rsidR="00914A40">
        <w:rPr>
          <w:rFonts w:ascii="Times New Roman" w:hAnsi="Times New Roman"/>
          <w:sz w:val="28"/>
          <w:szCs w:val="28"/>
        </w:rPr>
        <w:t xml:space="preserve">м, </w:t>
      </w:r>
      <w:r w:rsidR="00755D09">
        <w:rPr>
          <w:rFonts w:ascii="Times New Roman" w:hAnsi="Times New Roman"/>
          <w:sz w:val="28"/>
          <w:szCs w:val="28"/>
        </w:rPr>
        <w:t xml:space="preserve">в общем объеме перерабатываемых отходов объемы, поступающие </w:t>
      </w:r>
      <w:r>
        <w:rPr>
          <w:rFonts w:ascii="Times New Roman" w:hAnsi="Times New Roman"/>
          <w:sz w:val="28"/>
          <w:szCs w:val="28"/>
        </w:rPr>
        <w:t xml:space="preserve">на переработку </w:t>
      </w:r>
      <w:r w:rsidR="00755D09">
        <w:rPr>
          <w:rFonts w:ascii="Times New Roman" w:hAnsi="Times New Roman"/>
          <w:sz w:val="28"/>
          <w:szCs w:val="28"/>
        </w:rPr>
        <w:t>из жилого сектора</w:t>
      </w:r>
      <w:r>
        <w:rPr>
          <w:rFonts w:ascii="Times New Roman" w:hAnsi="Times New Roman"/>
          <w:sz w:val="28"/>
          <w:szCs w:val="28"/>
        </w:rPr>
        <w:t xml:space="preserve">, достигают не более 1-3%, повысить данный уровень до предлагаемых </w:t>
      </w:r>
      <w:r w:rsidR="005F650F">
        <w:rPr>
          <w:rFonts w:ascii="Times New Roman" w:hAnsi="Times New Roman"/>
          <w:sz w:val="28"/>
          <w:szCs w:val="28"/>
        </w:rPr>
        <w:t>30-4</w:t>
      </w:r>
      <w:r>
        <w:rPr>
          <w:rFonts w:ascii="Times New Roman" w:hAnsi="Times New Roman"/>
          <w:sz w:val="28"/>
          <w:szCs w:val="28"/>
        </w:rPr>
        <w:t>0% за один-два года не представляется возможным.</w:t>
      </w:r>
      <w:r w:rsidR="00803778">
        <w:rPr>
          <w:rFonts w:ascii="Times New Roman" w:hAnsi="Times New Roman"/>
          <w:sz w:val="28"/>
          <w:szCs w:val="28"/>
        </w:rPr>
        <w:t xml:space="preserve">Принятие нормативов выше 0-5% приведет к продаже «отчетности» об утилизации за счет уже утилизируемых коммерческих отходов по цене ниже ставки </w:t>
      </w:r>
      <w:proofErr w:type="spellStart"/>
      <w:r w:rsidR="00803778">
        <w:rPr>
          <w:rFonts w:ascii="Times New Roman" w:hAnsi="Times New Roman"/>
          <w:sz w:val="28"/>
          <w:szCs w:val="28"/>
        </w:rPr>
        <w:t>экосбора</w:t>
      </w:r>
      <w:proofErr w:type="spellEnd"/>
      <w:r w:rsidR="00803778">
        <w:rPr>
          <w:rFonts w:ascii="Times New Roman" w:hAnsi="Times New Roman"/>
          <w:sz w:val="28"/>
          <w:szCs w:val="28"/>
        </w:rPr>
        <w:t>, что подстегнет инфляцию и, самое главное, не улучшит сбор отходов у населения.</w:t>
      </w:r>
    </w:p>
    <w:p w:rsidR="005F650F" w:rsidRDefault="005F650F" w:rsidP="005F650F">
      <w:pPr>
        <w:spacing w:after="0" w:line="240" w:lineRule="auto"/>
        <w:ind w:left="851" w:right="850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настоящий момент становится </w:t>
      </w:r>
      <w:r w:rsidR="00803778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очевидно, что не все участники вновь создаваемой системы обращения с отходами находятся в равной степени готовности: </w:t>
      </w:r>
      <w:r w:rsidR="00803778">
        <w:rPr>
          <w:rFonts w:ascii="Times New Roman" w:hAnsi="Times New Roman"/>
          <w:sz w:val="28"/>
          <w:szCs w:val="28"/>
        </w:rPr>
        <w:t xml:space="preserve">необходимые для реализации положений 458-ФЗ территориальные схемы, региональные программы не разработаны, а также </w:t>
      </w:r>
      <w:r>
        <w:rPr>
          <w:rFonts w:ascii="Times New Roman" w:hAnsi="Times New Roman"/>
          <w:sz w:val="28"/>
          <w:szCs w:val="28"/>
        </w:rPr>
        <w:t xml:space="preserve">отсутствует институт регионального оператора, который в соответствии с 458-ФЗ с 01 января 2016 года должен стать единственным </w:t>
      </w:r>
      <w:r>
        <w:rPr>
          <w:rFonts w:ascii="Times New Roman" w:hAnsi="Times New Roman"/>
          <w:sz w:val="28"/>
          <w:szCs w:val="28"/>
        </w:rPr>
        <w:lastRenderedPageBreak/>
        <w:t>управляющим звеном в обращении с ТКО. С 01 января 2016 г. операторы по обращению с отходами не имеют права изымать ТКО у их собственников, равно как и собственники (население, управляющие компании, муниципалитеты) обязаны передавать ТКО только региональному оператору. Возникающая правовая коллизия</w:t>
      </w:r>
      <w:r w:rsidR="0010086C">
        <w:rPr>
          <w:rFonts w:ascii="Times New Roman" w:hAnsi="Times New Roman"/>
          <w:sz w:val="28"/>
          <w:szCs w:val="28"/>
        </w:rPr>
        <w:t xml:space="preserve"> создает серьезный барьер на пути самостоятельной реализации РОП: производители (импортеры) лишены возможности заключать контракты на обращение с ТКО по причине </w:t>
      </w:r>
      <w:r w:rsidR="00E331A2">
        <w:rPr>
          <w:rFonts w:ascii="Times New Roman" w:hAnsi="Times New Roman"/>
          <w:sz w:val="28"/>
          <w:szCs w:val="28"/>
        </w:rPr>
        <w:t xml:space="preserve">физического </w:t>
      </w:r>
      <w:r w:rsidR="0010086C">
        <w:rPr>
          <w:rFonts w:ascii="Times New Roman" w:hAnsi="Times New Roman"/>
          <w:sz w:val="28"/>
          <w:szCs w:val="28"/>
        </w:rPr>
        <w:t>отсутствия контрагента, обладающего согласно законодательству монопольными правами на обращение с отходами ТКО</w:t>
      </w:r>
      <w:r w:rsidR="00AF1092">
        <w:rPr>
          <w:rFonts w:ascii="Times New Roman" w:hAnsi="Times New Roman"/>
          <w:sz w:val="28"/>
          <w:szCs w:val="28"/>
        </w:rPr>
        <w:t>.</w:t>
      </w:r>
    </w:p>
    <w:p w:rsidR="005F650F" w:rsidRPr="005F650F" w:rsidRDefault="005F650F" w:rsidP="005F650F">
      <w:pPr>
        <w:spacing w:after="0" w:line="240" w:lineRule="auto"/>
        <w:ind w:left="851" w:right="850" w:firstLine="565"/>
        <w:jc w:val="both"/>
        <w:rPr>
          <w:rFonts w:ascii="Times New Roman" w:hAnsi="Times New Roman"/>
          <w:sz w:val="28"/>
          <w:szCs w:val="28"/>
        </w:rPr>
      </w:pPr>
      <w:r w:rsidRPr="005F650F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вызывает серьезное беспокойство, что </w:t>
      </w:r>
      <w:r w:rsidRPr="005F650F">
        <w:rPr>
          <w:rFonts w:ascii="Times New Roman" w:hAnsi="Times New Roman"/>
          <w:sz w:val="28"/>
          <w:szCs w:val="28"/>
        </w:rPr>
        <w:t>в рамках самостоятельной утилизации предполагается сбор и утилизация отходов в соответствии с кодами ФККО, корреляция которых с кодами товаров, указанных в Распоряжении от 24 сентября 2015 г. № 1886-р, отсутствует, что не позволит производителям предоставить корректную отчетность, а, следовательно, делает самостоятельную утилизацию невыполнимой.</w:t>
      </w:r>
    </w:p>
    <w:p w:rsidR="005F650F" w:rsidRDefault="00AF1092" w:rsidP="00AF1092">
      <w:pPr>
        <w:spacing w:after="0" w:line="240" w:lineRule="auto"/>
        <w:ind w:left="851" w:right="850" w:firstLine="5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Вышеперечисленные обстоятельства создают предпосылки к созданию исключительно фискального механизма реализации РОП (путем оплаты экологического сбора), что ставит под сомнение реализацию целей регулирования.</w:t>
      </w:r>
    </w:p>
    <w:p w:rsidR="00260EBF" w:rsidRDefault="00260EBF" w:rsidP="009D1D6A">
      <w:pPr>
        <w:spacing w:after="0" w:line="240" w:lineRule="auto"/>
        <w:ind w:left="851" w:right="85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5D09" w:rsidRPr="001D2918" w:rsidRDefault="00803778" w:rsidP="009D1D6A">
      <w:pPr>
        <w:spacing w:after="0" w:line="240" w:lineRule="auto"/>
        <w:ind w:left="851" w:right="8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F650F">
        <w:rPr>
          <w:rFonts w:ascii="Times New Roman" w:hAnsi="Times New Roman"/>
          <w:b/>
          <w:sz w:val="28"/>
          <w:szCs w:val="28"/>
        </w:rPr>
        <w:t>редложения</w:t>
      </w:r>
      <w:r>
        <w:rPr>
          <w:rFonts w:ascii="Times New Roman" w:hAnsi="Times New Roman"/>
          <w:b/>
          <w:sz w:val="28"/>
          <w:szCs w:val="28"/>
        </w:rPr>
        <w:t xml:space="preserve"> РусПЭК в связи с вышесказ</w:t>
      </w:r>
      <w:r w:rsidR="00E331A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нным</w:t>
      </w:r>
      <w:r w:rsidR="00755D09" w:rsidRPr="001D2918">
        <w:rPr>
          <w:rFonts w:ascii="Times New Roman" w:hAnsi="Times New Roman"/>
          <w:b/>
          <w:sz w:val="28"/>
          <w:szCs w:val="28"/>
        </w:rPr>
        <w:t>:</w:t>
      </w:r>
    </w:p>
    <w:p w:rsidR="005F650F" w:rsidRPr="005F650F" w:rsidRDefault="005F650F" w:rsidP="005F650F">
      <w:pPr>
        <w:pStyle w:val="a4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5F650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F650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F650F">
        <w:rPr>
          <w:rFonts w:ascii="Times New Roman" w:hAnsi="Times New Roman"/>
          <w:sz w:val="28"/>
          <w:szCs w:val="28"/>
        </w:rPr>
        <w:t xml:space="preserve"> аккумуляторных батарей, шин, бумаги, ртутьсодержащих ламп, а также групп товаров, по которым уже осуществляется утилизация, на период 2016-2017 гг. установить минимальные начальные нормативы на уровне не более 5%, в зависимости от групп и категорий товара; </w:t>
      </w:r>
    </w:p>
    <w:p w:rsidR="005F650F" w:rsidRPr="005F650F" w:rsidRDefault="005F650F" w:rsidP="005F650F">
      <w:pPr>
        <w:pStyle w:val="a4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5F650F">
        <w:rPr>
          <w:rFonts w:ascii="Times New Roman" w:hAnsi="Times New Roman"/>
          <w:sz w:val="28"/>
          <w:szCs w:val="28"/>
        </w:rPr>
        <w:t>по всем остальным товарным группам товарам на 2016-2017 гг. согласно абзацу второму пункта 2 поручения Правительства Российской Федерации от 1 июня 2015 г. № ДМ-П13-48пр установить норматив утилизации «0»;</w:t>
      </w:r>
    </w:p>
    <w:p w:rsidR="005F650F" w:rsidRPr="005F650F" w:rsidRDefault="005F650F" w:rsidP="005F650F">
      <w:pPr>
        <w:pStyle w:val="a4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 w:rsidRPr="005F650F">
        <w:rPr>
          <w:rFonts w:ascii="Times New Roman" w:hAnsi="Times New Roman"/>
          <w:sz w:val="28"/>
          <w:szCs w:val="28"/>
        </w:rPr>
        <w:t>предусмотреть разработку «ключа» для соотнесения кодов ФККО с кодами товаров, подлежащих утилизации;</w:t>
      </w:r>
    </w:p>
    <w:p w:rsidR="004404C2" w:rsidRDefault="00803778" w:rsidP="005F650F">
      <w:pPr>
        <w:pStyle w:val="a4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</w:t>
      </w:r>
      <w:r w:rsidR="00D328E0">
        <w:rPr>
          <w:rFonts w:ascii="Times New Roman" w:hAnsi="Times New Roman"/>
          <w:sz w:val="28"/>
          <w:szCs w:val="28"/>
        </w:rPr>
        <w:t xml:space="preserve">принятие нормативных актов одним пакетом, а также </w:t>
      </w:r>
      <w:r>
        <w:rPr>
          <w:rFonts w:ascii="Times New Roman" w:hAnsi="Times New Roman"/>
          <w:sz w:val="28"/>
          <w:szCs w:val="28"/>
        </w:rPr>
        <w:t>синхронную работу всех участников цепочки обращения с отходами</w:t>
      </w:r>
      <w:r w:rsidR="00E331A2">
        <w:rPr>
          <w:rFonts w:ascii="Times New Roman" w:hAnsi="Times New Roman"/>
          <w:sz w:val="28"/>
          <w:szCs w:val="28"/>
        </w:rPr>
        <w:t>, включая региональный компонент</w:t>
      </w:r>
      <w:r w:rsidR="004404C2">
        <w:rPr>
          <w:rFonts w:ascii="Times New Roman" w:hAnsi="Times New Roman"/>
          <w:sz w:val="28"/>
          <w:szCs w:val="28"/>
        </w:rPr>
        <w:t>;</w:t>
      </w:r>
    </w:p>
    <w:p w:rsidR="005F650F" w:rsidRPr="005F650F" w:rsidRDefault="00803778" w:rsidP="005F650F">
      <w:pPr>
        <w:pStyle w:val="a4"/>
        <w:numPr>
          <w:ilvl w:val="0"/>
          <w:numId w:val="2"/>
        </w:num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января 2016 г. предоставить право операторам по обращению с отходами</w:t>
      </w:r>
      <w:r w:rsidR="004404C2">
        <w:rPr>
          <w:rFonts w:ascii="Times New Roman" w:hAnsi="Times New Roman"/>
          <w:sz w:val="28"/>
          <w:szCs w:val="28"/>
        </w:rPr>
        <w:t xml:space="preserve"> заключать контракты на обр</w:t>
      </w:r>
      <w:bookmarkStart w:id="0" w:name="_GoBack"/>
      <w:bookmarkEnd w:id="0"/>
      <w:r w:rsidR="004404C2">
        <w:rPr>
          <w:rFonts w:ascii="Times New Roman" w:hAnsi="Times New Roman"/>
          <w:sz w:val="28"/>
          <w:szCs w:val="28"/>
        </w:rPr>
        <w:t xml:space="preserve">ащение с ТКО с собственниками ТКО. </w:t>
      </w:r>
    </w:p>
    <w:p w:rsidR="00755D09" w:rsidRPr="006F3FF8" w:rsidRDefault="00755D09" w:rsidP="005F650F">
      <w:pPr>
        <w:spacing w:after="0" w:line="240" w:lineRule="auto"/>
        <w:ind w:left="851" w:right="850"/>
        <w:jc w:val="both"/>
        <w:rPr>
          <w:rFonts w:ascii="Times New Roman" w:hAnsi="Times New Roman"/>
          <w:sz w:val="28"/>
          <w:szCs w:val="28"/>
        </w:rPr>
      </w:pPr>
    </w:p>
    <w:sectPr w:rsidR="00755D09" w:rsidRPr="006F3FF8" w:rsidSect="006147D5">
      <w:pgSz w:w="11906" w:h="16838"/>
      <w:pgMar w:top="1560" w:right="56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809"/>
    <w:multiLevelType w:val="hybridMultilevel"/>
    <w:tmpl w:val="D1368F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81D4901"/>
    <w:multiLevelType w:val="hybridMultilevel"/>
    <w:tmpl w:val="3158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28"/>
    <w:rsid w:val="00012D1B"/>
    <w:rsid w:val="0010086C"/>
    <w:rsid w:val="001D2918"/>
    <w:rsid w:val="001F25DA"/>
    <w:rsid w:val="00260EBF"/>
    <w:rsid w:val="004404C2"/>
    <w:rsid w:val="004B7FF4"/>
    <w:rsid w:val="005F650F"/>
    <w:rsid w:val="006147D5"/>
    <w:rsid w:val="006F3FF8"/>
    <w:rsid w:val="00755D09"/>
    <w:rsid w:val="00803778"/>
    <w:rsid w:val="008C49A8"/>
    <w:rsid w:val="00914A40"/>
    <w:rsid w:val="009C4AF2"/>
    <w:rsid w:val="009D1D6A"/>
    <w:rsid w:val="00AA4630"/>
    <w:rsid w:val="00AF1092"/>
    <w:rsid w:val="00B2125C"/>
    <w:rsid w:val="00B336CD"/>
    <w:rsid w:val="00BB2DCD"/>
    <w:rsid w:val="00CD1E97"/>
    <w:rsid w:val="00CE48C4"/>
    <w:rsid w:val="00D328E0"/>
    <w:rsid w:val="00DC4528"/>
    <w:rsid w:val="00E331A2"/>
    <w:rsid w:val="00E86F43"/>
    <w:rsid w:val="00F37836"/>
    <w:rsid w:val="00F5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FF8"/>
    <w:pPr>
      <w:ind w:left="720"/>
      <w:contextualSpacing/>
    </w:pPr>
  </w:style>
  <w:style w:type="paragraph" w:customStyle="1" w:styleId="Default">
    <w:name w:val="Default"/>
    <w:rsid w:val="005F6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Basel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 Yuriy</dc:creator>
  <cp:lastModifiedBy>Андрей</cp:lastModifiedBy>
  <cp:revision>7</cp:revision>
  <dcterms:created xsi:type="dcterms:W3CDTF">2015-11-11T11:06:00Z</dcterms:created>
  <dcterms:modified xsi:type="dcterms:W3CDTF">2015-11-18T07:17:00Z</dcterms:modified>
</cp:coreProperties>
</file>